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60896" w14:textId="77777777" w:rsidR="0012031E" w:rsidRDefault="0012031E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4850BDBA" w:rsidR="00E0751D" w:rsidRDefault="00E0751D" w:rsidP="0063371D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Acciones para recuperar el Balance Presupuestario de Recursos Disponibles Sostenible</w:t>
      </w:r>
      <w:r w:rsidR="0012031E">
        <w:t>.</w:t>
      </w:r>
    </w:p>
    <w:p w14:paraId="1D25A5A7" w14:textId="637C9037" w:rsidR="0063371D" w:rsidRDefault="0063371D" w:rsidP="0063371D">
      <w:pPr>
        <w:spacing w:after="0" w:line="240" w:lineRule="auto"/>
        <w:jc w:val="both"/>
      </w:pPr>
      <w:r>
        <w:t xml:space="preserve">Esta nota no aplica toda vez que el Sistema para el Desarrollo Integral de la Familia del Municipio de Cd. Manuel Doblado, </w:t>
      </w:r>
      <w:proofErr w:type="spellStart"/>
      <w:r>
        <w:t>Gto</w:t>
      </w:r>
      <w:proofErr w:type="spellEnd"/>
      <w:r>
        <w:t xml:space="preserve"> presenta un balance presupuestario sostenible al </w:t>
      </w:r>
      <w:r w:rsidR="00622C9E">
        <w:t xml:space="preserve">tercer </w:t>
      </w:r>
      <w:r>
        <w:t>trimestre 2019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54C5E65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4721831A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F4679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F7B7B" w14:textId="77777777" w:rsidR="00AF5CAD" w:rsidRDefault="00AF5CAD" w:rsidP="00E0751D">
      <w:pPr>
        <w:spacing w:after="0" w:line="240" w:lineRule="auto"/>
      </w:pPr>
    </w:p>
    <w:p w14:paraId="3EA0EA56" w14:textId="77777777" w:rsidR="00AF5CAD" w:rsidRDefault="00AF5CAD" w:rsidP="00E0751D">
      <w:pPr>
        <w:spacing w:after="0" w:line="240" w:lineRule="auto"/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77777777" w:rsidR="00E0751D" w:rsidRDefault="00E0751D" w:rsidP="00E0751D">
      <w:pPr>
        <w:spacing w:after="0" w:line="240" w:lineRule="auto"/>
      </w:pPr>
      <w:r>
        <w:t>Se informará:</w:t>
      </w:r>
    </w:p>
    <w:p w14:paraId="57AD9D88" w14:textId="7E0B415A" w:rsidR="00E0751D" w:rsidRDefault="00E0751D" w:rsidP="00337C1D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Fuente de Ingresos del aumento o creación del Gasto no Etiquetado</w:t>
      </w:r>
      <w:r w:rsidR="0012031E">
        <w:t>.</w:t>
      </w:r>
    </w:p>
    <w:p w14:paraId="42C44155" w14:textId="0286E4C9" w:rsidR="00337C1D" w:rsidRDefault="00337C1D" w:rsidP="00337C1D">
      <w:pPr>
        <w:spacing w:after="0" w:line="240" w:lineRule="auto"/>
        <w:jc w:val="both"/>
      </w:pPr>
      <w:r>
        <w:lastRenderedPageBreak/>
        <w:t xml:space="preserve">Al </w:t>
      </w:r>
      <w:r w:rsidR="00F37AC7">
        <w:t>tercer</w:t>
      </w:r>
      <w:r w:rsidR="00ED7F17">
        <w:t xml:space="preserve"> </w:t>
      </w:r>
      <w:r>
        <w:t xml:space="preserve">trimestre 2019 no se han realizado aumentos al gasto </w:t>
      </w:r>
      <w:r w:rsidR="00DF04D1">
        <w:t>no etiquetado</w:t>
      </w:r>
    </w:p>
    <w:p w14:paraId="6180F867" w14:textId="77777777" w:rsidR="00337C1D" w:rsidRDefault="00337C1D" w:rsidP="00337C1D">
      <w:pPr>
        <w:spacing w:after="0" w:line="240" w:lineRule="auto"/>
        <w:jc w:val="both"/>
      </w:pPr>
    </w:p>
    <w:p w14:paraId="3A813C27" w14:textId="00A6B6A8" w:rsidR="00E0751D" w:rsidRDefault="00E0751D" w:rsidP="00DF04D1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Fuente de Ingresos del aumento o creación del Gasto Etiquetado</w:t>
      </w:r>
      <w:r w:rsidR="0012031E">
        <w:t>.</w:t>
      </w:r>
    </w:p>
    <w:p w14:paraId="54F2C61A" w14:textId="031727D1" w:rsidR="00DF04D1" w:rsidRDefault="00DF04D1" w:rsidP="00DF04D1">
      <w:pPr>
        <w:spacing w:after="0" w:line="240" w:lineRule="auto"/>
        <w:jc w:val="both"/>
      </w:pPr>
      <w:r>
        <w:t xml:space="preserve">Al </w:t>
      </w:r>
      <w:r w:rsidR="00F37AC7">
        <w:t>tercer</w:t>
      </w:r>
      <w:r>
        <w:t xml:space="preserve"> trimestre 2019 no se han realizado aumentos al gasto etiquetado</w:t>
      </w:r>
    </w:p>
    <w:p w14:paraId="0AED8488" w14:textId="77777777" w:rsidR="00E0751D" w:rsidRDefault="00E0751D" w:rsidP="00E0751D">
      <w:pPr>
        <w:spacing w:after="0" w:line="240" w:lineRule="auto"/>
      </w:pPr>
    </w:p>
    <w:p w14:paraId="5501F925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7BFF2EF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783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42D6F" w14:textId="77777777" w:rsidR="00AF5CAD" w:rsidRDefault="00AF5CAD" w:rsidP="00E0751D">
      <w:pPr>
        <w:spacing w:after="0" w:line="240" w:lineRule="auto"/>
      </w:pPr>
    </w:p>
    <w:p w14:paraId="25DFD1B8" w14:textId="77777777" w:rsidR="00AF5CAD" w:rsidRDefault="00AF5CAD" w:rsidP="00E0751D">
      <w:pPr>
        <w:spacing w:after="0" w:line="240" w:lineRule="auto"/>
      </w:pPr>
    </w:p>
    <w:p w14:paraId="167D43E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5EA1E5E1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35F78AE8" w14:textId="1E71D066" w:rsidR="004F0B6E" w:rsidRDefault="004F0B6E" w:rsidP="00E0751D">
      <w:pPr>
        <w:spacing w:after="0" w:line="240" w:lineRule="auto"/>
      </w:pPr>
      <w:r>
        <w:t xml:space="preserve">No se informa toda vez que esta información únicamente incumbe al cierre del ejercicio y siendo que la información corresponde al </w:t>
      </w:r>
      <w:r w:rsidR="00F37AC7">
        <w:t xml:space="preserve">tercer </w:t>
      </w:r>
      <w:r>
        <w:t>trimestre 2019</w:t>
      </w:r>
    </w:p>
    <w:p w14:paraId="03FCCC19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14:paraId="584B1F31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E890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5A438D63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8723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03C99C52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3F92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3743198B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98C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03D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A7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BD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C6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10A4347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ADE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770E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31CA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FA24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C66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42C783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2F5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DF75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6C38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82D1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E4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2E3C1A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F76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FBB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EADD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FB7B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F00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E9E72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97A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B0BE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3820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0A88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16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D8ED8B6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AD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EC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EC8B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7AA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6CB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E5CF4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B75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2CDA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7CD3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993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7AC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2AA51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A0D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DA9E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BFF0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3E50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C81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0F517B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A2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2C9F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BBF4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70FC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AD4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8BEC8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C32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DB7E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5528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B68D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017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F6322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B6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ECD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563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2435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50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90EC8D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1B7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DBCD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31DE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F534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B5C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232EA7B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BEA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03C5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7E09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0255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AF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E098D0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9B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638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C729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59D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D36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C461D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571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13DF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2E51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AF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9A6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2ED6DBC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72F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E74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4C3E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C030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1CE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06E76D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986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E1F0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91C3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B7D0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98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BB325D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74C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93D3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D97A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EEDF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7EA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D4B8BC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18F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A0C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51FF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9105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B4D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478185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370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2949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C08E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F47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97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A348A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BC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F1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CA88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95F7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22C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5ECABA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7A52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8C67A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31E52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F0E1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AF6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0593FFEA" w14:textId="77777777" w:rsidR="00E0751D" w:rsidRDefault="00E0751D" w:rsidP="00E0751D">
      <w:pPr>
        <w:spacing w:after="0" w:line="240" w:lineRule="auto"/>
      </w:pPr>
    </w:p>
    <w:p w14:paraId="19CD6C48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78BFC970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FD23C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12E13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1667E" w14:textId="77777777" w:rsidR="00AF5CAD" w:rsidRDefault="00AF5CAD" w:rsidP="00E0751D">
      <w:pPr>
        <w:spacing w:after="0" w:line="240" w:lineRule="auto"/>
      </w:pPr>
    </w:p>
    <w:p w14:paraId="72A5D693" w14:textId="77777777" w:rsidR="00AF5CAD" w:rsidRDefault="00AF5CAD" w:rsidP="00E0751D">
      <w:pPr>
        <w:spacing w:after="0" w:line="240" w:lineRule="auto"/>
      </w:pPr>
    </w:p>
    <w:p w14:paraId="5F25A7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7324677E" w:rsidR="00E0751D" w:rsidRDefault="00E0751D" w:rsidP="00AB0B3F">
      <w:pPr>
        <w:pStyle w:val="Prrafodelista"/>
        <w:numPr>
          <w:ilvl w:val="0"/>
          <w:numId w:val="3"/>
        </w:numPr>
        <w:spacing w:after="0" w:line="240" w:lineRule="auto"/>
        <w:jc w:val="both"/>
      </w:pPr>
      <w:r w:rsidRPr="00E0751D">
        <w:t>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0EA88C8B" w14:textId="3BE1D516" w:rsidR="00AB0B3F" w:rsidRDefault="00AB0B3F" w:rsidP="00AB0B3F">
      <w:pPr>
        <w:spacing w:after="0" w:line="240" w:lineRule="auto"/>
        <w:jc w:val="both"/>
      </w:pPr>
      <w:r>
        <w:t xml:space="preserve">Durante el </w:t>
      </w:r>
      <w:r w:rsidR="00F37AC7">
        <w:t xml:space="preserve">tercer </w:t>
      </w:r>
      <w:r>
        <w:t xml:space="preserve">trimestre de 2019 el Sistema para el Desarrollo Integral de la Familia del Municipio de Cd. Manuel Doblado, </w:t>
      </w:r>
      <w:proofErr w:type="spellStart"/>
      <w:r>
        <w:t>Gto</w:t>
      </w:r>
      <w:proofErr w:type="spellEnd"/>
      <w:r>
        <w:t xml:space="preserve"> no contrajo obligación o financiamiento en los términos del Título Tercero Capitulo Uno de la Ley de Disciplina Financiera de las Entidades Federativas y Municipios </w:t>
      </w:r>
    </w:p>
    <w:p w14:paraId="10E4079B" w14:textId="77777777" w:rsidR="00E0751D" w:rsidRDefault="00E0751D" w:rsidP="00E0751D">
      <w:pPr>
        <w:spacing w:after="0" w:line="240" w:lineRule="auto"/>
        <w:jc w:val="both"/>
      </w:pPr>
    </w:p>
    <w:p w14:paraId="17046E5F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200AFAAC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F48E3" w14:textId="77777777" w:rsidR="00AF5CAD" w:rsidRDefault="00AF5CAD" w:rsidP="00E0751D">
      <w:pPr>
        <w:spacing w:after="0" w:line="240" w:lineRule="auto"/>
        <w:jc w:val="both"/>
      </w:pPr>
    </w:p>
    <w:p w14:paraId="76DC1357" w14:textId="77777777" w:rsidR="00E0751D" w:rsidRDefault="00E0751D" w:rsidP="00E0751D">
      <w:pPr>
        <w:spacing w:after="0" w:line="240" w:lineRule="auto"/>
        <w:jc w:val="both"/>
      </w:pP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790B8493" w:rsidR="00E0751D" w:rsidRDefault="00E0751D" w:rsidP="00C56DAA">
      <w:pPr>
        <w:pStyle w:val="Prrafodelista"/>
        <w:numPr>
          <w:ilvl w:val="0"/>
          <w:numId w:val="4"/>
        </w:numPr>
        <w:spacing w:after="0" w:line="240" w:lineRule="auto"/>
        <w:jc w:val="both"/>
      </w:pPr>
      <w:r w:rsidRPr="00E0751D">
        <w:t>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12A2648" w14:textId="26313E0D" w:rsidR="00C56DAA" w:rsidRDefault="00C56DAA" w:rsidP="00C56DAA">
      <w:pPr>
        <w:spacing w:after="0" w:line="240" w:lineRule="auto"/>
        <w:jc w:val="both"/>
      </w:pPr>
      <w:r>
        <w:t>Esta nota no aplica toda vez que el Sistema para el Desarr</w:t>
      </w:r>
      <w:bookmarkStart w:id="0" w:name="_GoBack"/>
      <w:bookmarkEnd w:id="0"/>
      <w:r>
        <w:t xml:space="preserve">ollo Integral de la Familia del Municipio de Cd. Manuel Doblado, </w:t>
      </w:r>
      <w:proofErr w:type="spellStart"/>
      <w:r>
        <w:t>Gto</w:t>
      </w:r>
      <w:proofErr w:type="spellEnd"/>
      <w:r>
        <w:t xml:space="preserve"> no contrajo obligación a corto plazo en los términos del Título Tercero Capitulo Uno de la Ley de Disciplina Financiera de las Entidades Federativas y Municipios durante el </w:t>
      </w:r>
      <w:r w:rsidR="00F37AC7">
        <w:t xml:space="preserve">tercer </w:t>
      </w:r>
      <w:r>
        <w:t>trimestre 2019</w:t>
      </w: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67AF6D4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265BF105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A03AA" w14:textId="77777777" w:rsidR="00AF5CAD" w:rsidRDefault="00AF5CAD" w:rsidP="00E0751D">
      <w:pPr>
        <w:spacing w:after="0" w:line="240" w:lineRule="auto"/>
        <w:jc w:val="both"/>
      </w:pPr>
    </w:p>
    <w:p w14:paraId="3CAB6919" w14:textId="77777777" w:rsidR="00AF5CAD" w:rsidRDefault="00AF5CAD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7DC41F2D" w:rsidR="0012031E" w:rsidRDefault="0012031E" w:rsidP="00C56DAA">
      <w:pPr>
        <w:pStyle w:val="Prrafodelista"/>
        <w:numPr>
          <w:ilvl w:val="0"/>
          <w:numId w:val="5"/>
        </w:numPr>
        <w:spacing w:after="0" w:line="240" w:lineRule="auto"/>
      </w:pPr>
      <w:r w:rsidRPr="0012031E">
        <w:t>La información relativa al cumplimiento de los convenios de Deuda Garantizada.</w:t>
      </w:r>
    </w:p>
    <w:p w14:paraId="2C52C108" w14:textId="5DA034EB" w:rsidR="00C56DAA" w:rsidRDefault="00C56DAA" w:rsidP="00C56DAA">
      <w:pPr>
        <w:spacing w:after="0" w:line="240" w:lineRule="auto"/>
      </w:pPr>
      <w:r>
        <w:t>No se tiene deuda</w:t>
      </w:r>
    </w:p>
    <w:p w14:paraId="1339113B" w14:textId="77777777" w:rsidR="00AF5CAD" w:rsidRDefault="00AF5CAD" w:rsidP="0012031E">
      <w:pPr>
        <w:spacing w:after="0" w:line="240" w:lineRule="auto"/>
      </w:pPr>
    </w:p>
    <w:p w14:paraId="0F56C686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F0ABE1A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BA07F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20"/>
      <w:footerReference w:type="default" r:id="rId2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84FD0" w14:textId="77777777" w:rsidR="00317530" w:rsidRDefault="00317530" w:rsidP="0012031E">
      <w:pPr>
        <w:spacing w:after="0" w:line="240" w:lineRule="auto"/>
      </w:pPr>
      <w:r>
        <w:separator/>
      </w:r>
    </w:p>
  </w:endnote>
  <w:endnote w:type="continuationSeparator" w:id="0">
    <w:p w14:paraId="1263934A" w14:textId="77777777" w:rsidR="00317530" w:rsidRDefault="00317530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AC7" w:rsidRPr="00F37AC7">
          <w:rPr>
            <w:noProof/>
            <w:lang w:val="es-ES"/>
          </w:rPr>
          <w:t>3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8111B" w14:textId="77777777" w:rsidR="00317530" w:rsidRDefault="00317530" w:rsidP="0012031E">
      <w:pPr>
        <w:spacing w:after="0" w:line="240" w:lineRule="auto"/>
      </w:pPr>
      <w:r>
        <w:separator/>
      </w:r>
    </w:p>
  </w:footnote>
  <w:footnote w:type="continuationSeparator" w:id="0">
    <w:p w14:paraId="2A946030" w14:textId="77777777" w:rsidR="00317530" w:rsidRDefault="00317530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1B9C9" w14:textId="18838068" w:rsidR="0012031E" w:rsidRDefault="0063371D" w:rsidP="0012031E">
    <w:pPr>
      <w:pStyle w:val="Encabezado"/>
      <w:jc w:val="center"/>
    </w:pPr>
    <w:r>
      <w:t>SISTEMA PARA EL DESARROLLO INTEGRAL DE LA FAMILIA DEL MUNICIPIO DE CD. MANUEL DOBLADO, GTO</w:t>
    </w:r>
  </w:p>
  <w:p w14:paraId="05C1276B" w14:textId="21272751" w:rsidR="0012031E" w:rsidRDefault="0012031E" w:rsidP="0012031E">
    <w:pPr>
      <w:pStyle w:val="Encabezado"/>
      <w:jc w:val="center"/>
    </w:pPr>
    <w:r w:rsidRPr="00A4610E">
      <w:t>CORRESPONDI</w:t>
    </w:r>
    <w:r w:rsidR="0063371D">
      <w:t xml:space="preserve">ENTES AL </w:t>
    </w:r>
    <w:r w:rsidR="00622C9E">
      <w:t xml:space="preserve">30 DE SEPTIEMBRE </w:t>
    </w:r>
    <w:r w:rsidR="0063371D">
      <w:t>DE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2625"/>
    <w:multiLevelType w:val="hybridMultilevel"/>
    <w:tmpl w:val="3EF228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179FB"/>
    <w:multiLevelType w:val="hybridMultilevel"/>
    <w:tmpl w:val="C826D5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92F74"/>
    <w:multiLevelType w:val="hybridMultilevel"/>
    <w:tmpl w:val="77F6865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24DE9"/>
    <w:multiLevelType w:val="hybridMultilevel"/>
    <w:tmpl w:val="538EEE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C0B63"/>
    <w:multiLevelType w:val="hybridMultilevel"/>
    <w:tmpl w:val="B8D2ECA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044481"/>
    <w:rsid w:val="0012031E"/>
    <w:rsid w:val="00317530"/>
    <w:rsid w:val="0033566A"/>
    <w:rsid w:val="00337C1D"/>
    <w:rsid w:val="004C23EA"/>
    <w:rsid w:val="004F0B6E"/>
    <w:rsid w:val="00622C9E"/>
    <w:rsid w:val="0063371D"/>
    <w:rsid w:val="00940570"/>
    <w:rsid w:val="009967AB"/>
    <w:rsid w:val="00A827B2"/>
    <w:rsid w:val="00AB0B3F"/>
    <w:rsid w:val="00AE2E14"/>
    <w:rsid w:val="00AF5CAD"/>
    <w:rsid w:val="00B51AF8"/>
    <w:rsid w:val="00C10F16"/>
    <w:rsid w:val="00C56DAA"/>
    <w:rsid w:val="00D217E5"/>
    <w:rsid w:val="00DF04D1"/>
    <w:rsid w:val="00E0751D"/>
    <w:rsid w:val="00ED7F17"/>
    <w:rsid w:val="00F3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3221</TotalTime>
  <Pages>4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Contabilidad</cp:lastModifiedBy>
  <cp:revision>13</cp:revision>
  <dcterms:created xsi:type="dcterms:W3CDTF">2018-03-20T04:02:00Z</dcterms:created>
  <dcterms:modified xsi:type="dcterms:W3CDTF">2019-10-08T17:27:00Z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